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75FAE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4F035754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2C3743CC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7D0FAE6C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04783A7E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45F721AF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12F55CB9" w14:textId="77777777" w:rsidR="00135840" w:rsidRDefault="00135840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00C8EF29" w14:textId="42460332" w:rsidR="00135840" w:rsidRDefault="0002687C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  <w:r w:rsidRPr="0002687C">
        <w:rPr>
          <w:rFonts w:ascii="Verdana" w:hAnsi="Verdana" w:cs="Arial"/>
          <w:b/>
          <w:sz w:val="44"/>
          <w:szCs w:val="44"/>
        </w:rPr>
        <w:t xml:space="preserve">Technická zpráva </w:t>
      </w:r>
    </w:p>
    <w:p w14:paraId="0E57307B" w14:textId="3077D8E7" w:rsidR="0046763F" w:rsidRPr="0002687C" w:rsidRDefault="0002687C" w:rsidP="0046763F">
      <w:pPr>
        <w:autoSpaceDE w:val="0"/>
        <w:autoSpaceDN w:val="0"/>
        <w:ind w:firstLine="0"/>
        <w:jc w:val="center"/>
        <w:rPr>
          <w:rFonts w:ascii="Verdana" w:hAnsi="Verdana" w:cs="Arial"/>
          <w:sz w:val="44"/>
          <w:szCs w:val="44"/>
        </w:rPr>
      </w:pPr>
      <w:r w:rsidRPr="0002687C">
        <w:rPr>
          <w:rFonts w:ascii="Verdana" w:hAnsi="Verdana" w:cs="Arial"/>
          <w:b/>
          <w:sz w:val="44"/>
          <w:szCs w:val="44"/>
        </w:rPr>
        <w:t>- d</w:t>
      </w:r>
      <w:r w:rsidR="0046763F" w:rsidRPr="0002687C">
        <w:rPr>
          <w:rFonts w:ascii="Verdana" w:hAnsi="Verdana" w:cs="Arial"/>
          <w:b/>
          <w:sz w:val="44"/>
          <w:szCs w:val="44"/>
        </w:rPr>
        <w:t>okumentace zakázky</w:t>
      </w:r>
      <w:r w:rsidR="0046763F" w:rsidRPr="0002687C">
        <w:rPr>
          <w:rFonts w:ascii="Verdana" w:hAnsi="Verdana" w:cs="Arial"/>
          <w:sz w:val="44"/>
          <w:szCs w:val="44"/>
        </w:rPr>
        <w:t>:</w:t>
      </w:r>
    </w:p>
    <w:p w14:paraId="41EB9CB9" w14:textId="77777777" w:rsidR="0046763F" w:rsidRPr="0002687C" w:rsidRDefault="0046763F" w:rsidP="0046763F">
      <w:pPr>
        <w:autoSpaceDE w:val="0"/>
        <w:autoSpaceDN w:val="0"/>
        <w:ind w:firstLine="0"/>
        <w:jc w:val="center"/>
        <w:rPr>
          <w:rFonts w:ascii="Verdana" w:hAnsi="Verdana" w:cs="Arial"/>
          <w:sz w:val="24"/>
          <w:szCs w:val="24"/>
        </w:rPr>
      </w:pPr>
    </w:p>
    <w:p w14:paraId="06E84E56" w14:textId="77777777" w:rsidR="0046763F" w:rsidRPr="0002687C" w:rsidRDefault="0046763F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0"/>
          <w:szCs w:val="40"/>
        </w:rPr>
      </w:pPr>
    </w:p>
    <w:p w14:paraId="1911E6A7" w14:textId="77777777" w:rsidR="0046763F" w:rsidRPr="0002687C" w:rsidRDefault="0046763F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0"/>
          <w:szCs w:val="40"/>
        </w:rPr>
      </w:pPr>
    </w:p>
    <w:p w14:paraId="5ECA4AFD" w14:textId="77777777" w:rsidR="0046763F" w:rsidRPr="0002687C" w:rsidRDefault="0046763F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0"/>
          <w:szCs w:val="40"/>
        </w:rPr>
      </w:pPr>
    </w:p>
    <w:p w14:paraId="11ABC034" w14:textId="77777777" w:rsidR="0046763F" w:rsidRPr="0002687C" w:rsidRDefault="0046763F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0"/>
          <w:szCs w:val="40"/>
        </w:rPr>
      </w:pPr>
    </w:p>
    <w:p w14:paraId="04F93AC6" w14:textId="77777777" w:rsidR="0046763F" w:rsidRPr="007D1C66" w:rsidRDefault="00F222BC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32"/>
          <w:szCs w:val="32"/>
        </w:rPr>
      </w:pPr>
      <w:r w:rsidRPr="007D1C66">
        <w:rPr>
          <w:rFonts w:ascii="Verdana" w:hAnsi="Verdana" w:cs="Arial"/>
          <w:b/>
          <w:sz w:val="32"/>
          <w:szCs w:val="32"/>
        </w:rPr>
        <w:t>Údržba vyšší</w:t>
      </w:r>
      <w:r w:rsidR="00B45D2C" w:rsidRPr="007D1C66">
        <w:rPr>
          <w:rFonts w:ascii="Verdana" w:hAnsi="Verdana" w:cs="Arial"/>
          <w:b/>
          <w:sz w:val="32"/>
          <w:szCs w:val="32"/>
        </w:rPr>
        <w:t xml:space="preserve"> a nižší zeleně v obvodu OŘ 2021-2022</w:t>
      </w:r>
    </w:p>
    <w:p w14:paraId="68507407" w14:textId="77777777" w:rsidR="00F222BC" w:rsidRPr="0002687C" w:rsidRDefault="00F222BC" w:rsidP="0046763F">
      <w:pPr>
        <w:autoSpaceDE w:val="0"/>
        <w:autoSpaceDN w:val="0"/>
        <w:ind w:firstLine="0"/>
        <w:jc w:val="center"/>
        <w:rPr>
          <w:rFonts w:ascii="Verdana" w:hAnsi="Verdana" w:cs="Arial"/>
          <w:b/>
          <w:sz w:val="44"/>
          <w:szCs w:val="44"/>
        </w:rPr>
      </w:pPr>
    </w:p>
    <w:p w14:paraId="71800FED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58EFD9B4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047FA9BB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309F2E85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65C87802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56B0E0CF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5AAD373F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422D41C1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5D406918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0B0CB1B6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010A4D7E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034B7AFF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</w:p>
    <w:p w14:paraId="35682455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</w:rPr>
      </w:pPr>
    </w:p>
    <w:p w14:paraId="77468FF7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</w:p>
    <w:p w14:paraId="690DF4AF" w14:textId="77777777" w:rsidR="0046763F" w:rsidRPr="0002687C" w:rsidRDefault="00B45D2C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V Ostravě: září 2021</w:t>
      </w:r>
    </w:p>
    <w:p w14:paraId="5770C473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</w:p>
    <w:p w14:paraId="1C2D58AE" w14:textId="1C7BB6AA" w:rsidR="0046763F" w:rsidRPr="00B359CF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Zpracoval:  Jaroslav Pítr</w:t>
      </w:r>
    </w:p>
    <w:p w14:paraId="12AFCA14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Cs w:val="24"/>
        </w:rPr>
      </w:pPr>
      <w:r w:rsidRPr="0002687C">
        <w:rPr>
          <w:rFonts w:ascii="Verdana" w:hAnsi="Verdana" w:cs="Arial"/>
          <w:szCs w:val="24"/>
        </w:rPr>
        <w:t xml:space="preserve"> </w:t>
      </w:r>
    </w:p>
    <w:p w14:paraId="7CE823F3" w14:textId="77777777" w:rsidR="0046763F" w:rsidRPr="00B359CF" w:rsidRDefault="0046763F" w:rsidP="0046763F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02687C">
        <w:rPr>
          <w:rFonts w:ascii="Verdana" w:hAnsi="Verdana" w:cs="Arial"/>
          <w:b/>
          <w:sz w:val="24"/>
          <w:szCs w:val="24"/>
        </w:rPr>
        <w:lastRenderedPageBreak/>
        <w:t xml:space="preserve">                                                                    </w:t>
      </w:r>
      <w:r w:rsidR="00B359CF">
        <w:rPr>
          <w:rFonts w:ascii="Verdana" w:hAnsi="Verdana" w:cs="Arial"/>
          <w:b/>
          <w:sz w:val="24"/>
          <w:szCs w:val="24"/>
        </w:rPr>
        <w:t xml:space="preserve">                             </w:t>
      </w:r>
    </w:p>
    <w:p w14:paraId="70B81471" w14:textId="77777777" w:rsidR="0046763F" w:rsidRPr="007D1C66" w:rsidRDefault="00F222BC" w:rsidP="0002687C">
      <w:pPr>
        <w:autoSpaceDE w:val="0"/>
        <w:autoSpaceDN w:val="0"/>
        <w:ind w:firstLine="0"/>
        <w:jc w:val="center"/>
        <w:rPr>
          <w:rFonts w:ascii="Verdana" w:hAnsi="Verdana" w:cs="Arial"/>
          <w:b/>
          <w:sz w:val="28"/>
          <w:szCs w:val="28"/>
        </w:rPr>
      </w:pPr>
      <w:r w:rsidRPr="007D1C66">
        <w:rPr>
          <w:rFonts w:ascii="Verdana" w:hAnsi="Verdana" w:cs="Arial"/>
          <w:b/>
          <w:sz w:val="28"/>
          <w:szCs w:val="28"/>
        </w:rPr>
        <w:t>Údržba vyšší</w:t>
      </w:r>
      <w:r w:rsidR="00B45D2C" w:rsidRPr="007D1C66">
        <w:rPr>
          <w:rFonts w:ascii="Verdana" w:hAnsi="Verdana" w:cs="Arial"/>
          <w:b/>
          <w:sz w:val="28"/>
          <w:szCs w:val="28"/>
        </w:rPr>
        <w:t xml:space="preserve"> a nižší zeleně v obvodu OŘ 2021-2022</w:t>
      </w:r>
    </w:p>
    <w:p w14:paraId="60F513EE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b/>
          <w:sz w:val="32"/>
          <w:szCs w:val="32"/>
        </w:rPr>
      </w:pPr>
    </w:p>
    <w:p w14:paraId="350A8C6B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24"/>
          <w:szCs w:val="24"/>
        </w:rPr>
      </w:pPr>
      <w:r w:rsidRPr="0002687C">
        <w:rPr>
          <w:rFonts w:ascii="Verdana" w:hAnsi="Verdana" w:cs="Arial"/>
          <w:b/>
          <w:sz w:val="24"/>
          <w:szCs w:val="24"/>
        </w:rPr>
        <w:t>A.1 Identifikační údaje investora a stavby</w:t>
      </w:r>
    </w:p>
    <w:p w14:paraId="70B9C17B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</w:p>
    <w:p w14:paraId="21407902" w14:textId="77777777" w:rsidR="0046763F" w:rsidRPr="0002687C" w:rsidRDefault="0046763F" w:rsidP="00F222BC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 xml:space="preserve">Název zakázky: </w:t>
      </w:r>
      <w:r w:rsidR="00B359CF">
        <w:rPr>
          <w:rFonts w:ascii="Verdana" w:hAnsi="Verdana" w:cs="Arial"/>
          <w:sz w:val="18"/>
          <w:szCs w:val="18"/>
        </w:rPr>
        <w:tab/>
      </w:r>
      <w:r w:rsidR="00F222BC" w:rsidRPr="0002687C">
        <w:rPr>
          <w:rFonts w:ascii="Verdana" w:hAnsi="Verdana" w:cs="Arial"/>
          <w:sz w:val="18"/>
          <w:szCs w:val="18"/>
        </w:rPr>
        <w:t xml:space="preserve">Údržba vyšší a </w:t>
      </w:r>
      <w:r w:rsidR="00B45D2C" w:rsidRPr="0002687C">
        <w:rPr>
          <w:rFonts w:ascii="Verdana" w:hAnsi="Verdana" w:cs="Arial"/>
          <w:sz w:val="18"/>
          <w:szCs w:val="18"/>
        </w:rPr>
        <w:t>nižší zeleně v obvodu OŘ 2021-2022</w:t>
      </w:r>
    </w:p>
    <w:p w14:paraId="416EF5CD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 xml:space="preserve">                                     </w:t>
      </w:r>
    </w:p>
    <w:p w14:paraId="58D89C87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Místo zakázky:</w:t>
      </w:r>
      <w:r w:rsidRPr="0002687C">
        <w:rPr>
          <w:rFonts w:ascii="Verdana" w:hAnsi="Verdana" w:cs="Arial"/>
          <w:sz w:val="18"/>
          <w:szCs w:val="18"/>
        </w:rPr>
        <w:tab/>
      </w:r>
      <w:r w:rsidRPr="0002687C">
        <w:rPr>
          <w:rFonts w:ascii="Verdana" w:hAnsi="Verdana" w:cs="Arial"/>
          <w:sz w:val="18"/>
          <w:szCs w:val="18"/>
        </w:rPr>
        <w:tab/>
        <w:t>obvod OŘ Ostrava</w:t>
      </w:r>
    </w:p>
    <w:p w14:paraId="08F9C5D5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 xml:space="preserve">                             </w:t>
      </w:r>
    </w:p>
    <w:p w14:paraId="7127273C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Kraj:</w:t>
      </w:r>
      <w:r w:rsidRPr="0002687C">
        <w:rPr>
          <w:rFonts w:ascii="Verdana" w:hAnsi="Verdana" w:cs="Arial"/>
          <w:sz w:val="18"/>
          <w:szCs w:val="18"/>
        </w:rPr>
        <w:tab/>
      </w:r>
      <w:r w:rsidRPr="0002687C">
        <w:rPr>
          <w:rFonts w:ascii="Verdana" w:hAnsi="Verdana" w:cs="Arial"/>
          <w:sz w:val="18"/>
          <w:szCs w:val="18"/>
        </w:rPr>
        <w:tab/>
      </w:r>
      <w:r w:rsidRPr="0002687C">
        <w:rPr>
          <w:rFonts w:ascii="Verdana" w:hAnsi="Verdana" w:cs="Arial"/>
          <w:sz w:val="18"/>
          <w:szCs w:val="18"/>
        </w:rPr>
        <w:tab/>
        <w:t>Moravskoslezský</w:t>
      </w:r>
    </w:p>
    <w:p w14:paraId="0619251B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</w:p>
    <w:p w14:paraId="0DB13D7A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Investor:</w:t>
      </w:r>
      <w:r w:rsidRPr="0002687C">
        <w:rPr>
          <w:rFonts w:ascii="Verdana" w:hAnsi="Verdana" w:cs="Arial"/>
          <w:sz w:val="18"/>
          <w:szCs w:val="18"/>
        </w:rPr>
        <w:tab/>
      </w:r>
      <w:r w:rsidRPr="0002687C">
        <w:rPr>
          <w:rFonts w:ascii="Verdana" w:hAnsi="Verdana" w:cs="Arial"/>
          <w:sz w:val="18"/>
          <w:szCs w:val="18"/>
        </w:rPr>
        <w:tab/>
      </w:r>
      <w:r w:rsidR="009B1C09" w:rsidRPr="0002687C">
        <w:rPr>
          <w:rFonts w:ascii="Verdana" w:hAnsi="Verdana" w:cs="Arial"/>
          <w:sz w:val="18"/>
          <w:szCs w:val="18"/>
        </w:rPr>
        <w:t>Správa železnic, státní organizace</w:t>
      </w:r>
      <w:r w:rsidRPr="0002687C">
        <w:rPr>
          <w:rFonts w:ascii="Verdana" w:hAnsi="Verdana" w:cs="Arial"/>
          <w:sz w:val="18"/>
          <w:szCs w:val="18"/>
        </w:rPr>
        <w:t xml:space="preserve"> – IČ</w:t>
      </w:r>
      <w:r w:rsidR="00B359CF">
        <w:rPr>
          <w:rFonts w:ascii="Verdana" w:hAnsi="Verdana" w:cs="Arial"/>
          <w:sz w:val="18"/>
          <w:szCs w:val="18"/>
        </w:rPr>
        <w:t>O</w:t>
      </w:r>
      <w:r w:rsidR="009B1C09" w:rsidRPr="0002687C">
        <w:rPr>
          <w:rFonts w:ascii="Verdana" w:hAnsi="Verdana" w:cs="Arial"/>
          <w:sz w:val="18"/>
          <w:szCs w:val="18"/>
        </w:rPr>
        <w:t>:</w:t>
      </w:r>
      <w:r w:rsidRPr="0002687C">
        <w:rPr>
          <w:rFonts w:ascii="Verdana" w:hAnsi="Verdana" w:cs="Arial"/>
          <w:sz w:val="18"/>
          <w:szCs w:val="18"/>
        </w:rPr>
        <w:t xml:space="preserve"> </w:t>
      </w:r>
      <w:r w:rsidR="009B1C09" w:rsidRPr="0002687C">
        <w:rPr>
          <w:rFonts w:ascii="Verdana" w:hAnsi="Verdana" w:cs="Arial"/>
          <w:sz w:val="18"/>
          <w:szCs w:val="18"/>
        </w:rPr>
        <w:t>709 94 234</w:t>
      </w:r>
    </w:p>
    <w:p w14:paraId="63901B6E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 xml:space="preserve">    </w:t>
      </w:r>
    </w:p>
    <w:p w14:paraId="2A7927F3" w14:textId="77777777" w:rsidR="0046763F" w:rsidRPr="0002687C" w:rsidRDefault="0046763F" w:rsidP="0046763F">
      <w:pPr>
        <w:autoSpaceDE w:val="0"/>
        <w:autoSpaceDN w:val="0"/>
        <w:spacing w:line="360" w:lineRule="auto"/>
        <w:ind w:firstLine="0"/>
        <w:rPr>
          <w:rFonts w:ascii="Verdana" w:hAnsi="Verdana" w:cs="Arial"/>
          <w:b/>
          <w:sz w:val="24"/>
          <w:szCs w:val="24"/>
        </w:rPr>
      </w:pPr>
      <w:r w:rsidRPr="0002687C">
        <w:rPr>
          <w:rFonts w:ascii="Verdana" w:hAnsi="Verdana" w:cs="Arial"/>
          <w:b/>
          <w:sz w:val="24"/>
          <w:szCs w:val="24"/>
        </w:rPr>
        <w:t>A.2 Základní údaje o zakázce a její členění:</w:t>
      </w:r>
    </w:p>
    <w:p w14:paraId="04FE58B7" w14:textId="77777777" w:rsidR="0046763F" w:rsidRPr="0002687C" w:rsidRDefault="0046763F" w:rsidP="0002687C">
      <w:pPr>
        <w:ind w:firstLine="0"/>
        <w:jc w:val="both"/>
        <w:rPr>
          <w:rFonts w:ascii="Verdana" w:hAnsi="Verdana" w:cs="Arial"/>
          <w:color w:val="000000"/>
          <w:sz w:val="18"/>
          <w:szCs w:val="18"/>
          <w:highlight w:val="yellow"/>
        </w:rPr>
      </w:pPr>
      <w:r w:rsidRPr="0002687C">
        <w:rPr>
          <w:rFonts w:ascii="Verdana" w:hAnsi="Verdana" w:cs="Arial"/>
          <w:color w:val="000000"/>
          <w:sz w:val="18"/>
          <w:szCs w:val="18"/>
        </w:rPr>
        <w:t>Předmětem zadán</w:t>
      </w:r>
      <w:r w:rsidR="00F222BC" w:rsidRPr="0002687C">
        <w:rPr>
          <w:rFonts w:ascii="Verdana" w:hAnsi="Verdana" w:cs="Arial"/>
          <w:color w:val="000000"/>
          <w:sz w:val="18"/>
          <w:szCs w:val="18"/>
        </w:rPr>
        <w:t>í je</w:t>
      </w:r>
      <w:r w:rsidR="005068D5" w:rsidRPr="0002687C">
        <w:rPr>
          <w:rFonts w:ascii="Verdana" w:hAnsi="Verdana" w:cs="Arial"/>
          <w:color w:val="000000"/>
          <w:sz w:val="18"/>
          <w:szCs w:val="18"/>
        </w:rPr>
        <w:t xml:space="preserve"> kácení</w:t>
      </w:r>
      <w:r w:rsidR="00F222BC" w:rsidRPr="0002687C">
        <w:rPr>
          <w:rFonts w:ascii="Verdana" w:hAnsi="Verdana" w:cs="Arial"/>
          <w:color w:val="000000"/>
          <w:sz w:val="18"/>
          <w:szCs w:val="18"/>
        </w:rPr>
        <w:t xml:space="preserve"> stromů,</w:t>
      </w:r>
      <w:r w:rsidR="005068D5" w:rsidRPr="0002687C">
        <w:rPr>
          <w:rFonts w:ascii="Verdana" w:hAnsi="Verdana" w:cs="Arial"/>
          <w:color w:val="000000"/>
          <w:sz w:val="18"/>
          <w:szCs w:val="18"/>
        </w:rPr>
        <w:t xml:space="preserve"> likvidace</w:t>
      </w:r>
      <w:r w:rsidR="00F222BC" w:rsidRPr="0002687C">
        <w:rPr>
          <w:rFonts w:ascii="Verdana" w:hAnsi="Verdana" w:cs="Arial"/>
          <w:color w:val="000000"/>
          <w:sz w:val="18"/>
          <w:szCs w:val="18"/>
        </w:rPr>
        <w:t xml:space="preserve"> náletových dřevin a křovin</w:t>
      </w:r>
      <w:r w:rsidRPr="0002687C">
        <w:rPr>
          <w:rFonts w:ascii="Verdana" w:hAnsi="Verdana" w:cs="Arial"/>
          <w:color w:val="000000"/>
          <w:sz w:val="18"/>
          <w:szCs w:val="18"/>
        </w:rPr>
        <w:t>.</w:t>
      </w:r>
    </w:p>
    <w:p w14:paraId="2C9E2A3D" w14:textId="77777777" w:rsidR="0046763F" w:rsidRPr="0002687C" w:rsidRDefault="0046763F" w:rsidP="0046763F">
      <w:pPr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 w:rsidRPr="0002687C">
        <w:rPr>
          <w:rFonts w:ascii="Verdana" w:hAnsi="Verdana" w:cs="Arial"/>
          <w:color w:val="000000"/>
          <w:sz w:val="18"/>
          <w:szCs w:val="18"/>
        </w:rPr>
        <w:t xml:space="preserve">Toto bude realizováno na drážních pozemcích ve vlastnictví ČR s právem hospodaření investora, tj. </w:t>
      </w:r>
      <w:r w:rsidR="009B1C09" w:rsidRPr="0002687C">
        <w:rPr>
          <w:rFonts w:ascii="Verdana" w:hAnsi="Verdana" w:cs="Arial"/>
          <w:color w:val="000000"/>
          <w:sz w:val="18"/>
          <w:szCs w:val="18"/>
        </w:rPr>
        <w:t>Správa železnic</w:t>
      </w:r>
      <w:r w:rsidRPr="0002687C">
        <w:rPr>
          <w:rFonts w:ascii="Verdana" w:hAnsi="Verdana" w:cs="Arial"/>
          <w:color w:val="000000"/>
          <w:sz w:val="18"/>
          <w:szCs w:val="18"/>
        </w:rPr>
        <w:t xml:space="preserve">, státní organizace, Dlážděná 1003/7, 110 00 Praha, Nové Město. </w:t>
      </w:r>
      <w:r w:rsidR="005068D5" w:rsidRPr="0002687C">
        <w:rPr>
          <w:rFonts w:ascii="Verdana" w:hAnsi="Verdana" w:cs="Arial"/>
          <w:sz w:val="18"/>
          <w:szCs w:val="18"/>
        </w:rPr>
        <w:t xml:space="preserve"> Skladba objednávek</w:t>
      </w:r>
      <w:r w:rsidRPr="0002687C">
        <w:rPr>
          <w:rFonts w:ascii="Verdana" w:hAnsi="Verdana" w:cs="Arial"/>
          <w:sz w:val="18"/>
          <w:szCs w:val="18"/>
        </w:rPr>
        <w:t xml:space="preserve"> prací při realizaci zakázky „</w:t>
      </w:r>
      <w:r w:rsidR="00F222BC" w:rsidRPr="0002687C">
        <w:rPr>
          <w:rFonts w:ascii="Verdana" w:hAnsi="Verdana" w:cs="Arial"/>
          <w:sz w:val="18"/>
          <w:szCs w:val="18"/>
        </w:rPr>
        <w:t>Údržba vyšší</w:t>
      </w:r>
      <w:r w:rsidR="00B45D2C" w:rsidRPr="0002687C">
        <w:rPr>
          <w:rFonts w:ascii="Verdana" w:hAnsi="Verdana" w:cs="Arial"/>
          <w:sz w:val="18"/>
          <w:szCs w:val="18"/>
        </w:rPr>
        <w:t xml:space="preserve"> a nižší zeleně v obvodu OŘ 2021-2022</w:t>
      </w:r>
      <w:r w:rsidRPr="0002687C">
        <w:rPr>
          <w:rFonts w:ascii="Verdana" w:hAnsi="Verdana" w:cs="Arial"/>
          <w:sz w:val="18"/>
          <w:szCs w:val="18"/>
        </w:rPr>
        <w:t>“ bude členěna dle jednotlivých traťových okrsků:</w:t>
      </w:r>
    </w:p>
    <w:p w14:paraId="4AC7441F" w14:textId="77777777" w:rsidR="0046763F" w:rsidRPr="0002687C" w:rsidRDefault="0046763F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</w:p>
    <w:p w14:paraId="598D2A8F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1.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Frenštát pod Radhoštěm</w:t>
      </w:r>
    </w:p>
    <w:p w14:paraId="17A68CDD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2.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Bohumín</w:t>
      </w:r>
    </w:p>
    <w:p w14:paraId="6B76B6C0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3.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Frýdek Místek</w:t>
      </w:r>
    </w:p>
    <w:p w14:paraId="444DD3FE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4.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Havířov</w:t>
      </w:r>
    </w:p>
    <w:p w14:paraId="78CA9501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5.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Karviná</w:t>
      </w:r>
    </w:p>
    <w:p w14:paraId="0EC3507C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6.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Český Těšín</w:t>
      </w:r>
    </w:p>
    <w:p w14:paraId="75F3681B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7.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Jablunkov </w:t>
      </w:r>
    </w:p>
    <w:p w14:paraId="15EDC374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8.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Ostrava</w:t>
      </w:r>
    </w:p>
    <w:p w14:paraId="5D70057E" w14:textId="77777777" w:rsidR="0046763F" w:rsidRPr="0002687C" w:rsidRDefault="00F222B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 </w:t>
      </w:r>
      <w:r w:rsidR="0002687C">
        <w:rPr>
          <w:rFonts w:ascii="Verdana" w:hAnsi="Verdana" w:cs="Arial"/>
          <w:b/>
          <w:sz w:val="18"/>
          <w:szCs w:val="18"/>
        </w:rPr>
        <w:t>9.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Ostrava Svinov</w:t>
      </w:r>
    </w:p>
    <w:p w14:paraId="2D8F9023" w14:textId="77777777" w:rsidR="0046763F" w:rsidRPr="0002687C" w:rsidRDefault="0046763F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>10</w:t>
      </w:r>
      <w:r w:rsidR="0002687C">
        <w:rPr>
          <w:rFonts w:ascii="Verdana" w:hAnsi="Verdana" w:cs="Arial"/>
          <w:b/>
          <w:sz w:val="18"/>
          <w:szCs w:val="18"/>
        </w:rPr>
        <w:t>.</w:t>
      </w:r>
      <w:r w:rsidRPr="0002687C">
        <w:rPr>
          <w:rFonts w:ascii="Verdana" w:hAnsi="Verdana" w:cs="Arial"/>
          <w:b/>
          <w:sz w:val="18"/>
          <w:szCs w:val="18"/>
        </w:rPr>
        <w:t xml:space="preserve"> TO Suchdol nad Odrou</w:t>
      </w:r>
    </w:p>
    <w:p w14:paraId="77994EA0" w14:textId="77777777" w:rsidR="0046763F" w:rsidRPr="0002687C" w:rsidRDefault="0002687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11.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Studénka</w:t>
      </w:r>
    </w:p>
    <w:p w14:paraId="4F6A4E01" w14:textId="77777777" w:rsidR="0046763F" w:rsidRPr="0002687C" w:rsidRDefault="0002687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12.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Opava</w:t>
      </w:r>
    </w:p>
    <w:p w14:paraId="3C3F5C32" w14:textId="77777777" w:rsidR="0046763F" w:rsidRPr="0002687C" w:rsidRDefault="0002687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13.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Krnov</w:t>
      </w:r>
    </w:p>
    <w:p w14:paraId="65C0D037" w14:textId="77777777" w:rsidR="0046763F" w:rsidRPr="0002687C" w:rsidRDefault="0002687C" w:rsidP="0046763F">
      <w:pPr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14.</w:t>
      </w:r>
      <w:r w:rsidR="0046763F" w:rsidRPr="0002687C">
        <w:rPr>
          <w:rFonts w:ascii="Verdana" w:hAnsi="Verdana" w:cs="Arial"/>
          <w:b/>
          <w:sz w:val="18"/>
          <w:szCs w:val="18"/>
        </w:rPr>
        <w:t xml:space="preserve"> TO Bruntál</w:t>
      </w:r>
    </w:p>
    <w:p w14:paraId="3100B6F5" w14:textId="77777777" w:rsidR="008E5A3B" w:rsidRPr="0002687C" w:rsidRDefault="008E5A3B" w:rsidP="00F222BC">
      <w:pPr>
        <w:autoSpaceDE w:val="0"/>
        <w:autoSpaceDN w:val="0"/>
        <w:ind w:firstLine="0"/>
        <w:rPr>
          <w:rFonts w:ascii="Verdana" w:hAnsi="Verdana" w:cs="Arial"/>
          <w:b/>
          <w:sz w:val="18"/>
          <w:szCs w:val="18"/>
        </w:rPr>
      </w:pPr>
    </w:p>
    <w:p w14:paraId="03779AD7" w14:textId="77777777" w:rsidR="008E5A3B" w:rsidRPr="0002687C" w:rsidRDefault="008E5A3B" w:rsidP="00F222BC">
      <w:pPr>
        <w:autoSpaceDE w:val="0"/>
        <w:autoSpaceDN w:val="0"/>
        <w:ind w:firstLine="0"/>
        <w:rPr>
          <w:rFonts w:ascii="Verdana" w:hAnsi="Verdana" w:cs="Arial"/>
          <w:b/>
          <w:sz w:val="18"/>
          <w:szCs w:val="18"/>
        </w:rPr>
      </w:pPr>
    </w:p>
    <w:p w14:paraId="1E7BE8AC" w14:textId="77777777" w:rsidR="0046763F" w:rsidRPr="0002687C" w:rsidRDefault="0046763F" w:rsidP="00F222BC">
      <w:pPr>
        <w:autoSpaceDE w:val="0"/>
        <w:autoSpaceDN w:val="0"/>
        <w:ind w:firstLine="0"/>
        <w:rPr>
          <w:rFonts w:ascii="Verdana" w:hAnsi="Verdana" w:cs="Arial"/>
          <w:b/>
          <w:color w:val="000000"/>
          <w:sz w:val="22"/>
          <w:szCs w:val="22"/>
        </w:rPr>
      </w:pPr>
      <w:r w:rsidRPr="0002687C">
        <w:rPr>
          <w:rFonts w:ascii="Verdana" w:hAnsi="Verdana" w:cs="Arial"/>
          <w:b/>
          <w:sz w:val="22"/>
          <w:szCs w:val="22"/>
        </w:rPr>
        <w:t>A.3</w:t>
      </w:r>
      <w:r w:rsidRPr="0002687C">
        <w:rPr>
          <w:rFonts w:ascii="Verdana" w:hAnsi="Verdana" w:cs="Arial"/>
          <w:b/>
          <w:color w:val="000000"/>
          <w:sz w:val="22"/>
          <w:szCs w:val="22"/>
        </w:rPr>
        <w:t xml:space="preserve"> </w:t>
      </w:r>
      <w:r w:rsidR="0002687C" w:rsidRPr="0002687C">
        <w:rPr>
          <w:rFonts w:ascii="Verdana" w:hAnsi="Verdana" w:cs="Arial"/>
          <w:b/>
          <w:color w:val="000000"/>
          <w:sz w:val="22"/>
          <w:szCs w:val="22"/>
        </w:rPr>
        <w:t>Základní činnosti:</w:t>
      </w:r>
    </w:p>
    <w:p w14:paraId="1299DBAA" w14:textId="77777777" w:rsidR="00F222BC" w:rsidRPr="0002687C" w:rsidRDefault="00F222BC" w:rsidP="00F222BC">
      <w:pPr>
        <w:autoSpaceDE w:val="0"/>
        <w:autoSpaceDN w:val="0"/>
        <w:ind w:firstLine="0"/>
        <w:rPr>
          <w:rFonts w:ascii="Verdana" w:hAnsi="Verdana" w:cs="Arial"/>
          <w:b/>
          <w:color w:val="000000"/>
          <w:sz w:val="18"/>
          <w:szCs w:val="18"/>
        </w:rPr>
      </w:pPr>
    </w:p>
    <w:p w14:paraId="338CBFAE" w14:textId="77777777" w:rsidR="0046763F" w:rsidRPr="0002687C" w:rsidRDefault="00F222BC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-kácení stromů</w:t>
      </w:r>
    </w:p>
    <w:p w14:paraId="39A25585" w14:textId="77777777" w:rsidR="0046763F" w:rsidRPr="0002687C" w:rsidRDefault="00F222BC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-kácení</w:t>
      </w:r>
      <w:r w:rsidR="00A60A3F" w:rsidRPr="0002687C">
        <w:rPr>
          <w:rFonts w:ascii="Verdana" w:hAnsi="Verdana" w:cs="Arial"/>
          <w:sz w:val="18"/>
          <w:szCs w:val="18"/>
        </w:rPr>
        <w:t xml:space="preserve"> a likvidace</w:t>
      </w:r>
      <w:r w:rsidRPr="0002687C">
        <w:rPr>
          <w:rFonts w:ascii="Verdana" w:hAnsi="Verdana" w:cs="Arial"/>
          <w:sz w:val="18"/>
          <w:szCs w:val="18"/>
        </w:rPr>
        <w:t xml:space="preserve"> náletových dřevin</w:t>
      </w:r>
    </w:p>
    <w:p w14:paraId="23B7AAF5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-vyřezání</w:t>
      </w:r>
      <w:r w:rsidR="00A60A3F" w:rsidRPr="0002687C">
        <w:rPr>
          <w:rFonts w:ascii="Verdana" w:hAnsi="Verdana" w:cs="Arial"/>
          <w:sz w:val="18"/>
          <w:szCs w:val="18"/>
        </w:rPr>
        <w:t xml:space="preserve"> a likvidace</w:t>
      </w:r>
      <w:r w:rsidRPr="0002687C">
        <w:rPr>
          <w:rFonts w:ascii="Verdana" w:hAnsi="Verdana" w:cs="Arial"/>
          <w:sz w:val="18"/>
          <w:szCs w:val="18"/>
        </w:rPr>
        <w:t xml:space="preserve"> křoví</w:t>
      </w:r>
    </w:p>
    <w:p w14:paraId="58263219" w14:textId="77777777" w:rsidR="0046763F" w:rsidRPr="0002687C" w:rsidRDefault="00A60A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-likvidace dřevní hmoty štěpkováním</w:t>
      </w:r>
    </w:p>
    <w:p w14:paraId="4C5CD2A8" w14:textId="77777777" w:rsidR="005068D5" w:rsidRPr="0002687C" w:rsidRDefault="005068D5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-likvidace pařezů</w:t>
      </w:r>
    </w:p>
    <w:p w14:paraId="200A4E40" w14:textId="77777777" w:rsidR="0046763F" w:rsidRPr="0002687C" w:rsidRDefault="0046763F" w:rsidP="0046763F">
      <w:pPr>
        <w:autoSpaceDE w:val="0"/>
        <w:autoSpaceDN w:val="0"/>
        <w:ind w:firstLine="0"/>
        <w:rPr>
          <w:rFonts w:ascii="Verdana" w:hAnsi="Verdana" w:cs="Arial"/>
          <w:sz w:val="18"/>
          <w:szCs w:val="18"/>
        </w:rPr>
      </w:pPr>
    </w:p>
    <w:p w14:paraId="4668B136" w14:textId="5B16EBB1" w:rsidR="0002687C" w:rsidRPr="0002687C" w:rsidRDefault="0002687C" w:rsidP="0002687C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  <w:r w:rsidRPr="0002687C">
        <w:rPr>
          <w:rFonts w:ascii="Verdana" w:hAnsi="Verdana" w:cs="Arial"/>
          <w:b/>
          <w:sz w:val="18"/>
          <w:szCs w:val="18"/>
        </w:rPr>
        <w:t xml:space="preserve">Práce budou prováděny </w:t>
      </w:r>
      <w:r w:rsidR="00135840">
        <w:rPr>
          <w:rFonts w:ascii="Verdana" w:hAnsi="Verdana" w:cs="Arial"/>
          <w:b/>
          <w:sz w:val="18"/>
          <w:szCs w:val="18"/>
        </w:rPr>
        <w:t xml:space="preserve">na základě dílčích smluv zadávaných v souladu s rámcovou dohodou po částech  </w:t>
      </w:r>
      <w:r w:rsidRPr="0002687C">
        <w:rPr>
          <w:rFonts w:ascii="Verdana" w:hAnsi="Verdana" w:cs="Arial"/>
          <w:b/>
          <w:sz w:val="18"/>
          <w:szCs w:val="18"/>
        </w:rPr>
        <w:t>na jednotlivé měsíce a jednotlivé TO, dle položek ve výkazu výměr</w:t>
      </w:r>
      <w:r w:rsidR="00F33988">
        <w:rPr>
          <w:rFonts w:ascii="Verdana" w:hAnsi="Verdana" w:cs="Arial"/>
          <w:b/>
          <w:sz w:val="18"/>
          <w:szCs w:val="18"/>
        </w:rPr>
        <w:t xml:space="preserve"> (formulář pro cenovou nabídku)</w:t>
      </w:r>
      <w:r w:rsidRPr="0002687C">
        <w:rPr>
          <w:rFonts w:ascii="Verdana" w:hAnsi="Verdana" w:cs="Arial"/>
          <w:b/>
          <w:sz w:val="18"/>
          <w:szCs w:val="18"/>
        </w:rPr>
        <w:t>.</w:t>
      </w:r>
    </w:p>
    <w:p w14:paraId="396334CB" w14:textId="77777777" w:rsidR="0046763F" w:rsidRPr="0002687C" w:rsidRDefault="0046763F" w:rsidP="0046763F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</w:p>
    <w:p w14:paraId="2DED10DC" w14:textId="77777777" w:rsidR="0046763F" w:rsidRPr="007D1C66" w:rsidRDefault="003B30A0" w:rsidP="0046763F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b/>
          <w:sz w:val="24"/>
          <w:szCs w:val="24"/>
        </w:rPr>
      </w:pPr>
      <w:r w:rsidRPr="007D1C66">
        <w:rPr>
          <w:rFonts w:ascii="Verdana" w:hAnsi="Verdana" w:cs="Arial"/>
          <w:b/>
          <w:sz w:val="24"/>
          <w:szCs w:val="24"/>
        </w:rPr>
        <w:t>A.</w:t>
      </w:r>
      <w:r w:rsidR="008E5A3B" w:rsidRPr="007D1C66">
        <w:rPr>
          <w:rFonts w:ascii="Verdana" w:hAnsi="Verdana" w:cs="Arial"/>
          <w:b/>
          <w:sz w:val="24"/>
          <w:szCs w:val="24"/>
        </w:rPr>
        <w:t xml:space="preserve">4 </w:t>
      </w:r>
      <w:r w:rsidRPr="007D1C66">
        <w:rPr>
          <w:rFonts w:ascii="Verdana" w:hAnsi="Verdana" w:cs="Arial"/>
          <w:b/>
          <w:sz w:val="24"/>
          <w:szCs w:val="24"/>
        </w:rPr>
        <w:t>Provedení díla</w:t>
      </w:r>
    </w:p>
    <w:p w14:paraId="7AAC9BD7" w14:textId="77777777" w:rsidR="0046763F" w:rsidRPr="0002687C" w:rsidRDefault="0046763F" w:rsidP="0046763F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sz w:val="18"/>
          <w:szCs w:val="18"/>
          <w:u w:val="single"/>
        </w:rPr>
      </w:pPr>
    </w:p>
    <w:p w14:paraId="4AE371BA" w14:textId="2FD8D927" w:rsidR="003B30A0" w:rsidRPr="0002687C" w:rsidRDefault="003B30A0" w:rsidP="003B30A0">
      <w:pPr>
        <w:pStyle w:val="Style11"/>
        <w:widowControl/>
        <w:spacing w:line="241" w:lineRule="atLeast"/>
        <w:ind w:left="540" w:right="86"/>
        <w:jc w:val="both"/>
        <w:rPr>
          <w:rStyle w:val="FontStyle38"/>
          <w:rFonts w:ascii="Verdana" w:hAnsi="Verdana" w:cs="Arial"/>
          <w:sz w:val="18"/>
          <w:szCs w:val="18"/>
        </w:rPr>
      </w:pPr>
      <w:r w:rsidRPr="0002687C">
        <w:rPr>
          <w:rStyle w:val="FontStyle38"/>
          <w:rFonts w:ascii="Verdana" w:hAnsi="Verdana" w:cs="Arial"/>
          <w:sz w:val="18"/>
          <w:szCs w:val="18"/>
        </w:rPr>
        <w:t>Dílo bude provedeno dle zadávací dokumentace, v souladu s Technickými kvalitativními podmínkami staveb státních drah</w:t>
      </w:r>
      <w:r w:rsidR="00F33988">
        <w:rPr>
          <w:rStyle w:val="FontStyle38"/>
          <w:rFonts w:ascii="Verdana" w:hAnsi="Verdana" w:cs="Arial"/>
          <w:sz w:val="18"/>
          <w:szCs w:val="18"/>
        </w:rPr>
        <w:t xml:space="preserve"> (TKP)</w:t>
      </w:r>
      <w:r w:rsidRPr="0002687C">
        <w:rPr>
          <w:rStyle w:val="FontStyle38"/>
          <w:rFonts w:ascii="Verdana" w:hAnsi="Verdana" w:cs="Arial"/>
          <w:sz w:val="18"/>
          <w:szCs w:val="18"/>
        </w:rPr>
        <w:t xml:space="preserve"> </w:t>
      </w:r>
      <w:r w:rsidR="00F33988">
        <w:rPr>
          <w:rStyle w:val="FontStyle38"/>
          <w:rFonts w:ascii="Verdana" w:hAnsi="Verdana" w:cs="Arial"/>
          <w:sz w:val="18"/>
          <w:szCs w:val="18"/>
        </w:rPr>
        <w:t xml:space="preserve">, odkaz: </w:t>
      </w:r>
      <w:hyperlink r:id="rId11" w:history="1">
        <w:r w:rsidR="00F33988" w:rsidRPr="00F33988">
          <w:rPr>
            <w:rStyle w:val="Hypertextovodkaz"/>
            <w:rFonts w:asciiTheme="minorHAnsi" w:hAnsiTheme="minorHAnsi"/>
            <w:sz w:val="18"/>
            <w:szCs w:val="18"/>
          </w:rPr>
          <w:t>Dokumenty – CTD (tudc.cz)</w:t>
        </w:r>
      </w:hyperlink>
      <w:r w:rsidRPr="0002687C">
        <w:rPr>
          <w:rStyle w:val="FontStyle38"/>
          <w:rFonts w:ascii="Verdana" w:hAnsi="Verdana" w:cs="Arial"/>
          <w:sz w:val="18"/>
          <w:szCs w:val="18"/>
        </w:rPr>
        <w:t xml:space="preserve"> a v souladu s příslušnými právními předpisy, zejm. : </w:t>
      </w:r>
    </w:p>
    <w:p w14:paraId="128ED8B2" w14:textId="77777777" w:rsidR="003B30A0" w:rsidRPr="0002687C" w:rsidRDefault="003B30A0" w:rsidP="003B30A0">
      <w:pPr>
        <w:pStyle w:val="Style11"/>
        <w:widowControl/>
        <w:spacing w:line="241" w:lineRule="atLeast"/>
        <w:ind w:left="540" w:right="86"/>
        <w:jc w:val="both"/>
        <w:rPr>
          <w:rStyle w:val="FontStyle38"/>
          <w:rFonts w:ascii="Verdana" w:hAnsi="Verdana" w:cs="Arial"/>
          <w:sz w:val="18"/>
          <w:szCs w:val="18"/>
        </w:rPr>
      </w:pPr>
    </w:p>
    <w:p w14:paraId="0D1BDC44" w14:textId="77777777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hAnsi="Verdana" w:cs="Arial"/>
          <w:b/>
        </w:rPr>
      </w:pPr>
      <w:r w:rsidRPr="00DA6A35">
        <w:rPr>
          <w:rFonts w:ascii="Verdana" w:hAnsi="Verdana" w:cs="Arial"/>
        </w:rPr>
        <w:t>se zákonem č. 114/1992 Sb., o ochraně přírody a krajin</w:t>
      </w:r>
      <w:r w:rsidR="00A01602" w:rsidRPr="00DA6A35">
        <w:rPr>
          <w:rFonts w:ascii="Verdana" w:hAnsi="Verdana" w:cs="Arial"/>
        </w:rPr>
        <w:t>y, ve znění pozdějších předpisů</w:t>
      </w:r>
      <w:r w:rsidR="00A01602" w:rsidRPr="00DA6A35">
        <w:rPr>
          <w:rFonts w:ascii="Verdana" w:hAnsi="Verdana" w:cs="Arial"/>
          <w:b/>
        </w:rPr>
        <w:t xml:space="preserve"> (zhotovitel se zavazuje, že započne práce až po předání patřičných povolení a oznámení, které nabyly právní moci od zadavatele)</w:t>
      </w:r>
    </w:p>
    <w:p w14:paraId="00DDC7A4" w14:textId="77777777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hAnsi="Verdana" w:cs="Arial"/>
        </w:rPr>
      </w:pPr>
      <w:r w:rsidRPr="00DA6A35">
        <w:rPr>
          <w:rFonts w:ascii="Verdana" w:hAnsi="Verdana" w:cs="Arial"/>
        </w:rPr>
        <w:lastRenderedPageBreak/>
        <w:t>se zákonem č.326/2004 Sb., o rostlinolékařské péči a o změně některých souvisejících zákonů, ve znění pozdějších předpisů,</w:t>
      </w:r>
    </w:p>
    <w:p w14:paraId="57409520" w14:textId="01152A6F" w:rsidR="003B30A0" w:rsidRPr="00DA6A35" w:rsidRDefault="005A728C" w:rsidP="003B30A0">
      <w:pPr>
        <w:pStyle w:val="Style11"/>
        <w:widowControl/>
        <w:numPr>
          <w:ilvl w:val="0"/>
          <w:numId w:val="34"/>
        </w:numPr>
        <w:spacing w:line="241" w:lineRule="atLeast"/>
        <w:ind w:left="1134" w:right="86" w:hanging="425"/>
        <w:jc w:val="both"/>
        <w:rPr>
          <w:rStyle w:val="FontStyle38"/>
          <w:rFonts w:ascii="Verdana" w:hAnsi="Verdana" w:cs="Arial"/>
          <w:bCs/>
          <w:sz w:val="18"/>
          <w:szCs w:val="18"/>
        </w:rPr>
      </w:pPr>
      <w:r w:rsidRPr="00DA6A35">
        <w:rPr>
          <w:rFonts w:ascii="Verdana" w:hAnsi="Verdana"/>
          <w:sz w:val="18"/>
          <w:szCs w:val="18"/>
        </w:rPr>
        <w:t>se zákonem 541/2020 Sb.,</w:t>
      </w:r>
      <w:r w:rsidR="003B30A0" w:rsidRPr="00DA6A35">
        <w:rPr>
          <w:rFonts w:ascii="Verdana" w:hAnsi="Verdana"/>
          <w:sz w:val="18"/>
          <w:szCs w:val="18"/>
        </w:rPr>
        <w:t xml:space="preserve"> o odpadech, ve znění pozdějších předpisů a prováděcími předpisy k tomuto zákonu</w:t>
      </w:r>
      <w:r w:rsidR="003B30A0" w:rsidRPr="00DA6A35">
        <w:rPr>
          <w:rStyle w:val="FontStyle38"/>
          <w:rFonts w:ascii="Verdana" w:hAnsi="Verdana" w:cs="Arial"/>
          <w:bCs/>
          <w:sz w:val="18"/>
          <w:szCs w:val="18"/>
        </w:rPr>
        <w:t>,</w:t>
      </w:r>
    </w:p>
    <w:p w14:paraId="63A5CF74" w14:textId="77777777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eastAsia="Times New Roman" w:hAnsi="Verdana" w:cs="Arial"/>
          <w:lang w:eastAsia="cs-CZ"/>
        </w:rPr>
      </w:pPr>
      <w:r w:rsidRPr="00DA6A35">
        <w:rPr>
          <w:rFonts w:ascii="Verdana" w:eastAsia="Times New Roman" w:hAnsi="Verdana" w:cs="Arial"/>
          <w:lang w:eastAsia="cs-CZ"/>
        </w:rPr>
        <w:t>s vyhláškou č. 132/2018 Sb., o přípravcích a pomocných prostředcích na ochranu rostlin, ve znění pozdějších předpisů,</w:t>
      </w:r>
    </w:p>
    <w:p w14:paraId="6B1490D8" w14:textId="77777777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eastAsia="Times New Roman" w:hAnsi="Verdana" w:cs="Arial"/>
          <w:lang w:eastAsia="cs-CZ"/>
        </w:rPr>
      </w:pPr>
      <w:r w:rsidRPr="00DA6A35">
        <w:rPr>
          <w:rFonts w:ascii="Verdana" w:eastAsia="Times New Roman" w:hAnsi="Verdana" w:cs="Arial"/>
          <w:lang w:eastAsia="cs-CZ"/>
        </w:rPr>
        <w:t xml:space="preserve">s vyhláškou č. 327/2012 Sb., </w:t>
      </w:r>
      <w:r w:rsidRPr="00DA6A35">
        <w:rPr>
          <w:rFonts w:ascii="Verdana" w:eastAsia="Times New Roman" w:hAnsi="Verdana" w:cs="Arial"/>
          <w:iCs/>
          <w:lang w:eastAsia="cs-CZ"/>
        </w:rPr>
        <w:t>o ochraně včel, zvěře, vodních organismů a dalších necílových organismů při použití přípravků na ochranu rostlin</w:t>
      </w:r>
      <w:r w:rsidR="005A728C" w:rsidRPr="00DA6A35">
        <w:rPr>
          <w:rFonts w:ascii="Verdana" w:eastAsia="Times New Roman" w:hAnsi="Verdana" w:cs="Arial"/>
          <w:lang w:eastAsia="cs-CZ"/>
        </w:rPr>
        <w:t xml:space="preserve">, </w:t>
      </w:r>
      <w:r w:rsidRPr="00DA6A35">
        <w:rPr>
          <w:rFonts w:ascii="Verdana" w:eastAsia="Times New Roman" w:hAnsi="Verdana" w:cs="Arial"/>
          <w:lang w:eastAsia="cs-CZ"/>
        </w:rPr>
        <w:t>ve znění pozdějších předpisů,</w:t>
      </w:r>
    </w:p>
    <w:p w14:paraId="0F05AA67" w14:textId="77777777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eastAsia="Times New Roman" w:hAnsi="Verdana" w:cs="Arial"/>
          <w:lang w:eastAsia="cs-CZ"/>
        </w:rPr>
      </w:pPr>
      <w:r w:rsidRPr="00DA6A35">
        <w:rPr>
          <w:rFonts w:ascii="Verdana" w:eastAsia="Times New Roman" w:hAnsi="Verdana" w:cs="Arial"/>
          <w:lang w:eastAsia="cs-CZ"/>
        </w:rPr>
        <w:t xml:space="preserve">s vyhláškou č. 206/2012 Sb., </w:t>
      </w:r>
      <w:r w:rsidRPr="00DA6A35">
        <w:rPr>
          <w:rFonts w:ascii="Verdana" w:eastAsia="Times New Roman" w:hAnsi="Verdana" w:cs="Arial"/>
          <w:iCs/>
          <w:lang w:eastAsia="cs-CZ"/>
        </w:rPr>
        <w:t>o odborné způsobilosti pro nakládání s přípravky, ve znění pozdějších předpisů,</w:t>
      </w:r>
    </w:p>
    <w:p w14:paraId="6766F5AD" w14:textId="249EF5B1" w:rsidR="003B30A0" w:rsidRPr="00DA6A35" w:rsidRDefault="003B30A0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eastAsia="Times New Roman" w:hAnsi="Verdana" w:cs="Arial"/>
          <w:lang w:eastAsia="cs-CZ"/>
        </w:rPr>
      </w:pPr>
      <w:r w:rsidRPr="00DA6A35">
        <w:rPr>
          <w:rFonts w:ascii="Verdana" w:eastAsia="Times New Roman" w:hAnsi="Verdana" w:cs="Arial"/>
          <w:iCs/>
          <w:lang w:eastAsia="cs-CZ"/>
        </w:rPr>
        <w:t xml:space="preserve">s vyhláškou </w:t>
      </w:r>
      <w:r w:rsidRPr="00DA6A35">
        <w:rPr>
          <w:rFonts w:ascii="Verdana" w:eastAsia="Times New Roman" w:hAnsi="Verdana" w:cs="Arial"/>
          <w:lang w:eastAsia="cs-CZ"/>
        </w:rPr>
        <w:t xml:space="preserve">č. 207/2012 Sb., </w:t>
      </w:r>
      <w:r w:rsidRPr="00DA6A35">
        <w:rPr>
          <w:rFonts w:ascii="Verdana" w:eastAsia="Times New Roman" w:hAnsi="Verdana" w:cs="Arial"/>
          <w:iCs/>
          <w:lang w:eastAsia="cs-CZ"/>
        </w:rPr>
        <w:t>o profesionálních zařízeních pro aplikaci přípravků a o změně vyhlášky č. 384/2011 Sb., o technických zařízeních a o označování dřevěného obalového materiálu a o změně vyhlášky č. 334/2004 Sb., o mechanizačních prostředcích na ochranu rostlin, ve znění pozdějších předpisů</w:t>
      </w:r>
      <w:r w:rsidR="00DA6A35">
        <w:rPr>
          <w:rFonts w:ascii="Verdana" w:eastAsia="Times New Roman" w:hAnsi="Verdana" w:cs="Arial"/>
          <w:iCs/>
          <w:lang w:eastAsia="cs-CZ"/>
        </w:rPr>
        <w:t xml:space="preserve">, </w:t>
      </w:r>
    </w:p>
    <w:p w14:paraId="73EBD9E4" w14:textId="60DF5903" w:rsidR="007D1C66" w:rsidRPr="00DA6A35" w:rsidRDefault="00DA6A35" w:rsidP="003B30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1" w:lineRule="atLeast"/>
        <w:ind w:left="1134" w:hanging="425"/>
        <w:jc w:val="both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m</w:t>
      </w:r>
      <w:r w:rsidR="007D1C66" w:rsidRPr="00DA6A35">
        <w:rPr>
          <w:rFonts w:ascii="Verdana" w:eastAsia="Times New Roman" w:hAnsi="Verdana" w:cs="Arial"/>
          <w:lang w:eastAsia="cs-CZ"/>
        </w:rPr>
        <w:t xml:space="preserve">etodickým pokynem pro údržbu stromoví SŽ MP č. j. </w:t>
      </w:r>
      <w:r w:rsidR="00ED779A" w:rsidRPr="00DA6A35">
        <w:rPr>
          <w:rFonts w:ascii="Verdana" w:hAnsi="Verdana" w:cs="Verdana"/>
        </w:rPr>
        <w:t>8611/2021-SŽ-GŘ-O15</w:t>
      </w:r>
      <w:r w:rsidR="007D1C66" w:rsidRPr="00DA6A35">
        <w:rPr>
          <w:rFonts w:ascii="Verdana" w:eastAsia="Times New Roman" w:hAnsi="Verdana" w:cs="Arial"/>
          <w:lang w:eastAsia="cs-CZ"/>
        </w:rPr>
        <w:t xml:space="preserve"> ze dne </w:t>
      </w:r>
      <w:r w:rsidR="00ED779A" w:rsidRPr="00DA6A35">
        <w:rPr>
          <w:rFonts w:ascii="Verdana" w:eastAsia="Times New Roman" w:hAnsi="Verdana" w:cs="Arial"/>
          <w:lang w:eastAsia="cs-CZ"/>
        </w:rPr>
        <w:t>4. 3 2021</w:t>
      </w:r>
      <w:r w:rsidR="007D1C66" w:rsidRPr="00DA6A35">
        <w:rPr>
          <w:rFonts w:ascii="Verdana" w:eastAsia="Times New Roman" w:hAnsi="Verdana" w:cs="Arial"/>
          <w:lang w:eastAsia="cs-CZ"/>
        </w:rPr>
        <w:t>.</w:t>
      </w:r>
    </w:p>
    <w:p w14:paraId="3A12FD2F" w14:textId="77777777" w:rsidR="007D1C66" w:rsidRDefault="007D1C66" w:rsidP="007D1C66">
      <w:pPr>
        <w:autoSpaceDE w:val="0"/>
        <w:autoSpaceDN w:val="0"/>
        <w:adjustRightInd w:val="0"/>
        <w:spacing w:line="241" w:lineRule="atLeast"/>
        <w:ind w:left="709" w:firstLine="0"/>
        <w:jc w:val="both"/>
        <w:rPr>
          <w:rFonts w:ascii="Verdana" w:hAnsi="Verdana" w:cs="Arial"/>
        </w:rPr>
      </w:pPr>
    </w:p>
    <w:p w14:paraId="0587C992" w14:textId="77777777" w:rsidR="007D1C66" w:rsidRPr="00FC651D" w:rsidRDefault="007D1C66" w:rsidP="007D1C66">
      <w:pPr>
        <w:pStyle w:val="Text1-1"/>
        <w:numPr>
          <w:ilvl w:val="0"/>
          <w:numId w:val="0"/>
        </w:numPr>
        <w:ind w:left="737"/>
        <w:rPr>
          <w:rFonts w:cs="Calibri"/>
          <w:noProof/>
          <w:color w:val="0563C1" w:themeColor="hyperlink"/>
          <w:u w:val="single"/>
        </w:rPr>
      </w:pPr>
      <w:r>
        <w:rPr>
          <w:rFonts w:ascii="Arial" w:hAnsi="Arial" w:cs="Arial"/>
        </w:rPr>
        <w:t xml:space="preserve">Pozn.: </w:t>
      </w:r>
      <w:r w:rsidRPr="00E71B4A">
        <w:t xml:space="preserve">Zadavatel umožňuje dodavateli přístup ke všem svým interním předpisům následujícím způsobem: </w:t>
      </w:r>
      <w:hyperlink r:id="rId12" w:history="1">
        <w:r w:rsidRPr="00FC651D">
          <w:rPr>
            <w:rStyle w:val="Hypertextovodkaz"/>
            <w:rFonts w:cs="Calibri"/>
          </w:rPr>
          <w:t>http://www.tudc.cz/</w:t>
        </w:r>
      </w:hyperlink>
      <w:r w:rsidRPr="00FC651D">
        <w:rPr>
          <w:rFonts w:eastAsia="Calibri"/>
        </w:rPr>
        <w:t xml:space="preserve">  nebo </w:t>
      </w:r>
      <w:hyperlink r:id="rId13" w:history="1">
        <w:r w:rsidRPr="003C3B64">
          <w:rPr>
            <w:rStyle w:val="Hypertextovodkaz"/>
          </w:rPr>
          <w:t>https://www.spravazeleznic.cz/</w:t>
        </w:r>
      </w:hyperlink>
      <w:r>
        <w:t xml:space="preserve"> </w:t>
      </w:r>
      <w:r w:rsidRPr="0001286C">
        <w:t>(v sekci „O nás“ –&gt; „Vnitřní předpisy</w:t>
      </w:r>
      <w:r>
        <w:t xml:space="preserve"> SŽ</w:t>
      </w:r>
      <w:r w:rsidRPr="0001286C">
        <w:t>“ odkaz „Dokumenty a předpisy“).</w:t>
      </w:r>
    </w:p>
    <w:p w14:paraId="454CA32E" w14:textId="77777777" w:rsidR="00B07E13" w:rsidRPr="0002687C" w:rsidRDefault="00B07E13" w:rsidP="008E5A3B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b/>
          <w:sz w:val="18"/>
          <w:szCs w:val="18"/>
        </w:rPr>
      </w:pPr>
    </w:p>
    <w:p w14:paraId="281CFDF2" w14:textId="77777777" w:rsidR="00B07E13" w:rsidRPr="007D1C66" w:rsidRDefault="00B07E13" w:rsidP="008E5A3B">
      <w:pPr>
        <w:tabs>
          <w:tab w:val="left" w:pos="543"/>
        </w:tabs>
        <w:autoSpaceDE w:val="0"/>
        <w:autoSpaceDN w:val="0"/>
        <w:ind w:firstLine="0"/>
        <w:jc w:val="both"/>
        <w:rPr>
          <w:rFonts w:ascii="Verdana" w:hAnsi="Verdana" w:cs="Arial"/>
          <w:b/>
          <w:sz w:val="24"/>
          <w:szCs w:val="24"/>
        </w:rPr>
      </w:pPr>
    </w:p>
    <w:p w14:paraId="3D1B27ED" w14:textId="64E9E802" w:rsidR="0046763F" w:rsidRPr="007D1C66" w:rsidRDefault="008E5A3B" w:rsidP="0046763F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7D1C66">
        <w:rPr>
          <w:rFonts w:ascii="Verdana" w:hAnsi="Verdana" w:cs="Arial"/>
          <w:b/>
          <w:sz w:val="24"/>
          <w:szCs w:val="24"/>
        </w:rPr>
        <w:t>A.</w:t>
      </w:r>
      <w:r w:rsidR="00135840">
        <w:rPr>
          <w:rFonts w:ascii="Verdana" w:hAnsi="Verdana" w:cs="Arial"/>
          <w:b/>
          <w:sz w:val="24"/>
          <w:szCs w:val="24"/>
        </w:rPr>
        <w:t>5</w:t>
      </w:r>
      <w:r w:rsidR="005A728C" w:rsidRPr="007D1C66">
        <w:rPr>
          <w:rFonts w:ascii="Verdana" w:hAnsi="Verdana" w:cs="Arial"/>
          <w:b/>
          <w:sz w:val="24"/>
          <w:szCs w:val="24"/>
        </w:rPr>
        <w:t xml:space="preserve"> Výluky </w:t>
      </w:r>
      <w:r w:rsidR="0046763F" w:rsidRPr="007D1C66">
        <w:rPr>
          <w:rFonts w:ascii="Verdana" w:hAnsi="Verdana" w:cs="Arial"/>
          <w:b/>
          <w:sz w:val="24"/>
          <w:szCs w:val="24"/>
        </w:rPr>
        <w:t>železniční infrastruktury zad</w:t>
      </w:r>
      <w:r w:rsidRPr="007D1C66">
        <w:rPr>
          <w:rFonts w:ascii="Verdana" w:hAnsi="Verdana" w:cs="Arial"/>
          <w:b/>
          <w:sz w:val="24"/>
          <w:szCs w:val="24"/>
        </w:rPr>
        <w:t>avatelem poskytnuté k realizaci</w:t>
      </w:r>
      <w:r w:rsidR="0046763F" w:rsidRPr="007D1C66">
        <w:rPr>
          <w:rFonts w:ascii="Verdana" w:hAnsi="Verdana" w:cs="Arial"/>
          <w:b/>
          <w:sz w:val="24"/>
          <w:szCs w:val="24"/>
        </w:rPr>
        <w:t>:</w:t>
      </w:r>
    </w:p>
    <w:p w14:paraId="55D7765A" w14:textId="77777777" w:rsidR="0046763F" w:rsidRPr="0002687C" w:rsidRDefault="0046763F" w:rsidP="0046763F">
      <w:pPr>
        <w:autoSpaceDE w:val="0"/>
        <w:autoSpaceDN w:val="0"/>
        <w:ind w:right="-285" w:firstLine="0"/>
        <w:rPr>
          <w:rFonts w:ascii="Verdana" w:hAnsi="Verdana" w:cs="Arial"/>
          <w:sz w:val="18"/>
          <w:szCs w:val="18"/>
        </w:rPr>
      </w:pPr>
    </w:p>
    <w:p w14:paraId="45E450EF" w14:textId="5BC64F65" w:rsidR="0046763F" w:rsidRPr="0002687C" w:rsidRDefault="00D71C15" w:rsidP="0046763F">
      <w:pPr>
        <w:autoSpaceDE w:val="0"/>
        <w:autoSpaceDN w:val="0"/>
        <w:ind w:right="-285" w:firstLine="0"/>
        <w:rPr>
          <w:rFonts w:ascii="Verdana" w:hAnsi="Verdana" w:cs="Arial"/>
          <w:sz w:val="18"/>
          <w:szCs w:val="18"/>
        </w:rPr>
      </w:pPr>
      <w:r w:rsidRPr="0002687C">
        <w:rPr>
          <w:rFonts w:ascii="Verdana" w:hAnsi="Verdana" w:cs="Arial"/>
          <w:sz w:val="18"/>
          <w:szCs w:val="18"/>
        </w:rPr>
        <w:t>-dle měsíčního plánu výluk</w:t>
      </w:r>
      <w:r w:rsidR="00135840">
        <w:rPr>
          <w:rFonts w:ascii="Verdana" w:hAnsi="Verdana" w:cs="Arial"/>
          <w:sz w:val="18"/>
          <w:szCs w:val="18"/>
        </w:rPr>
        <w:t xml:space="preserve"> (informace v rámci zadání dílčích smluv)</w:t>
      </w:r>
    </w:p>
    <w:p w14:paraId="6301AC6D" w14:textId="77777777" w:rsidR="0046763F" w:rsidRPr="0002687C" w:rsidRDefault="0046763F" w:rsidP="0046763F">
      <w:pPr>
        <w:autoSpaceDE w:val="0"/>
        <w:autoSpaceDN w:val="0"/>
        <w:ind w:right="-285" w:firstLine="0"/>
        <w:rPr>
          <w:rFonts w:ascii="Verdana" w:hAnsi="Verdana" w:cs="Arial"/>
          <w:b/>
          <w:sz w:val="18"/>
          <w:szCs w:val="18"/>
        </w:rPr>
      </w:pPr>
    </w:p>
    <w:p w14:paraId="55B84160" w14:textId="77777777" w:rsidR="0046763F" w:rsidRPr="0002687C" w:rsidRDefault="0046763F" w:rsidP="0046763F">
      <w:pPr>
        <w:rPr>
          <w:rFonts w:ascii="Verdana" w:hAnsi="Verdana" w:cs="Arial"/>
          <w:sz w:val="18"/>
          <w:szCs w:val="18"/>
        </w:rPr>
      </w:pPr>
    </w:p>
    <w:p w14:paraId="18B0F43E" w14:textId="77777777" w:rsidR="009A3DFD" w:rsidRPr="0002687C" w:rsidRDefault="009A3DFD" w:rsidP="001827AC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sectPr w:rsidR="009A3DFD" w:rsidRPr="0002687C" w:rsidSect="003B30A0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474" w:bottom="2070" w:left="1049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16D61" w14:textId="77777777" w:rsidR="005B7766" w:rsidRDefault="005B7766" w:rsidP="00962258">
      <w:r>
        <w:separator/>
      </w:r>
    </w:p>
  </w:endnote>
  <w:endnote w:type="continuationSeparator" w:id="0">
    <w:p w14:paraId="2043876A" w14:textId="77777777" w:rsidR="005B7766" w:rsidRDefault="005B776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91"/>
      <w:gridCol w:w="4898"/>
    </w:tblGrid>
    <w:tr w:rsidR="00F96719" w14:paraId="74F44E49" w14:textId="77777777" w:rsidTr="00F9671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9177CD" w14:textId="6C7FE6CB" w:rsidR="00F96719" w:rsidRPr="00B8518B" w:rsidRDefault="00F9671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A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A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ADEB96" w14:textId="77777777" w:rsidR="00F96719" w:rsidRDefault="00F9671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33938F" w14:textId="77777777" w:rsidR="00F96719" w:rsidRDefault="00F96719" w:rsidP="00B8518B">
          <w:pPr>
            <w:pStyle w:val="Zpat"/>
          </w:pPr>
        </w:p>
      </w:tc>
      <w:tc>
        <w:tcPr>
          <w:tcW w:w="2891" w:type="dxa"/>
        </w:tcPr>
        <w:p w14:paraId="12B0CC63" w14:textId="77777777" w:rsidR="00F96719" w:rsidRDefault="00F96719" w:rsidP="00D831A3">
          <w:pPr>
            <w:pStyle w:val="Zpat"/>
          </w:pPr>
        </w:p>
      </w:tc>
      <w:tc>
        <w:tcPr>
          <w:tcW w:w="4898" w:type="dxa"/>
        </w:tcPr>
        <w:p w14:paraId="239DB9F9" w14:textId="77777777" w:rsidR="00F96719" w:rsidRDefault="00F96719" w:rsidP="00D831A3">
          <w:pPr>
            <w:pStyle w:val="Zpat"/>
          </w:pPr>
        </w:p>
      </w:tc>
    </w:tr>
  </w:tbl>
  <w:p w14:paraId="5B6C35A3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91"/>
      <w:gridCol w:w="4898"/>
    </w:tblGrid>
    <w:tr w:rsidR="00F96719" w14:paraId="1D930540" w14:textId="77777777" w:rsidTr="00F9671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603756" w14:textId="3D627B47" w:rsidR="00F96719" w:rsidRPr="00B8518B" w:rsidRDefault="00F9671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A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A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7DADA" w14:textId="77777777" w:rsidR="00F96719" w:rsidRDefault="00F96719" w:rsidP="00460660">
          <w:pPr>
            <w:pStyle w:val="Zpat"/>
          </w:pPr>
          <w:r>
            <w:t>Správa železni</w:t>
          </w:r>
          <w:r w:rsidR="00124AAC">
            <w:t>c</w:t>
          </w:r>
          <w:r>
            <w:t>, státní organizace</w:t>
          </w:r>
        </w:p>
        <w:p w14:paraId="5FD3935E" w14:textId="77777777" w:rsidR="00F96719" w:rsidRDefault="00F9671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C96380" w14:textId="77777777" w:rsidR="00F96719" w:rsidRDefault="00F96719" w:rsidP="00460660">
          <w:pPr>
            <w:pStyle w:val="Zpat"/>
          </w:pPr>
          <w:r>
            <w:t>Sídlo: Dlážděná 1003/7, 110 00 Praha 1</w:t>
          </w:r>
        </w:p>
        <w:p w14:paraId="12FB03FD" w14:textId="77777777" w:rsidR="00F96719" w:rsidRDefault="00F96719" w:rsidP="00460660">
          <w:pPr>
            <w:pStyle w:val="Zpat"/>
          </w:pPr>
          <w:r>
            <w:t>IČ</w:t>
          </w:r>
          <w:r w:rsidR="00124AAC">
            <w:t>O</w:t>
          </w:r>
          <w:r>
            <w:t>: 709 94 234 DIČ: CZ 709 94 234</w:t>
          </w:r>
        </w:p>
        <w:p w14:paraId="42D4B642" w14:textId="0895C287" w:rsidR="00F96719" w:rsidRDefault="00135840" w:rsidP="00460660">
          <w:pPr>
            <w:pStyle w:val="Zpat"/>
          </w:pPr>
          <w:r>
            <w:t>spravazeleznic.cz</w:t>
          </w:r>
        </w:p>
      </w:tc>
      <w:tc>
        <w:tcPr>
          <w:tcW w:w="2891" w:type="dxa"/>
        </w:tcPr>
        <w:p w14:paraId="7560E867" w14:textId="77777777" w:rsidR="00F96719" w:rsidRPr="00B45E9E" w:rsidRDefault="006E5B0F" w:rsidP="003664A4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21C09CE0" w14:textId="77777777" w:rsidR="006E5B0F" w:rsidRDefault="006E5B0F" w:rsidP="006E5B0F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  <w:r w:rsidR="00F96719" w:rsidRPr="00B45E9E">
            <w:rPr>
              <w:b/>
            </w:rPr>
            <w:t xml:space="preserve"> </w:t>
          </w:r>
        </w:p>
        <w:p w14:paraId="754EEEC0" w14:textId="77777777" w:rsidR="00F96719" w:rsidRPr="003664A4" w:rsidRDefault="006E5B0F" w:rsidP="006E5B0F">
          <w:pPr>
            <w:pStyle w:val="Zpat"/>
            <w:rPr>
              <w:b/>
            </w:rPr>
          </w:pPr>
          <w:r>
            <w:rPr>
              <w:b/>
            </w:rPr>
            <w:t>702 00 Ostrava</w:t>
          </w:r>
        </w:p>
      </w:tc>
      <w:tc>
        <w:tcPr>
          <w:tcW w:w="4898" w:type="dxa"/>
        </w:tcPr>
        <w:p w14:paraId="702A307C" w14:textId="77777777" w:rsidR="00F96719" w:rsidRPr="00B45E9E" w:rsidRDefault="00F96719" w:rsidP="003664A4">
          <w:pPr>
            <w:pStyle w:val="Zpat"/>
            <w:rPr>
              <w:b/>
            </w:rPr>
          </w:pPr>
        </w:p>
      </w:tc>
    </w:tr>
  </w:tbl>
  <w:p w14:paraId="2C3D3A00" w14:textId="77777777" w:rsidR="00F1715C" w:rsidRPr="00B8518B" w:rsidRDefault="00F1715C" w:rsidP="00460660">
    <w:pPr>
      <w:pStyle w:val="Zpat"/>
      <w:rPr>
        <w:sz w:val="2"/>
        <w:szCs w:val="2"/>
      </w:rPr>
    </w:pPr>
  </w:p>
  <w:p w14:paraId="43E6CB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878EA" w14:textId="77777777" w:rsidR="005B7766" w:rsidRDefault="005B7766" w:rsidP="00962258">
      <w:r>
        <w:separator/>
      </w:r>
    </w:p>
  </w:footnote>
  <w:footnote w:type="continuationSeparator" w:id="0">
    <w:p w14:paraId="70C3FC37" w14:textId="77777777" w:rsidR="005B7766" w:rsidRDefault="005B776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624"/>
    </w:tblGrid>
    <w:tr w:rsidR="00F1715C" w14:paraId="7BF419AF" w14:textId="77777777" w:rsidTr="00F96719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F59679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E70223" w14:textId="319D09C6" w:rsidR="00135840" w:rsidRDefault="00135840" w:rsidP="00523EA7">
          <w:pPr>
            <w:pStyle w:val="Zpat"/>
          </w:pPr>
        </w:p>
        <w:p w14:paraId="708CAF91" w14:textId="77777777" w:rsidR="00F1715C" w:rsidRPr="00135840" w:rsidRDefault="00F1715C" w:rsidP="00135840">
          <w:pPr>
            <w:jc w:val="center"/>
            <w:rPr>
              <w:lang w:eastAsia="en-US"/>
            </w:rPr>
          </w:pPr>
        </w:p>
      </w:tc>
      <w:tc>
        <w:tcPr>
          <w:tcW w:w="1062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49D81A" w14:textId="77777777" w:rsidR="00F1715C" w:rsidRPr="00D6163D" w:rsidRDefault="00F1715C" w:rsidP="00D6163D">
          <w:pPr>
            <w:pStyle w:val="Druhdokumentu"/>
          </w:pPr>
        </w:p>
      </w:tc>
    </w:tr>
  </w:tbl>
  <w:p w14:paraId="5E8A504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624"/>
    </w:tblGrid>
    <w:tr w:rsidR="00F1715C" w14:paraId="1AD48AFA" w14:textId="77777777" w:rsidTr="00F96719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239E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5520E0" w14:textId="77777777" w:rsidR="00F1715C" w:rsidRDefault="00F1715C" w:rsidP="00FC6389">
          <w:pPr>
            <w:pStyle w:val="Zpat"/>
          </w:pPr>
        </w:p>
      </w:tc>
      <w:tc>
        <w:tcPr>
          <w:tcW w:w="10624" w:type="dxa"/>
          <w:shd w:val="clear" w:color="auto" w:fill="auto"/>
          <w:tcMar>
            <w:left w:w="0" w:type="dxa"/>
            <w:right w:w="0" w:type="dxa"/>
          </w:tcMar>
        </w:tcPr>
        <w:p w14:paraId="7BDAFACD" w14:textId="77777777" w:rsidR="00F1715C" w:rsidRPr="00D6163D" w:rsidRDefault="00F1715C" w:rsidP="00FC6389">
          <w:pPr>
            <w:pStyle w:val="Druhdokumentu"/>
          </w:pPr>
        </w:p>
      </w:tc>
    </w:tr>
    <w:tr w:rsidR="009F392E" w14:paraId="0D94CE9E" w14:textId="77777777" w:rsidTr="002D2259">
      <w:trPr>
        <w:trHeight w:hRule="exact" w:val="510"/>
      </w:trPr>
      <w:tc>
        <w:tcPr>
          <w:tcW w:w="1361" w:type="dxa"/>
          <w:tcMar>
            <w:left w:w="0" w:type="dxa"/>
            <w:right w:w="0" w:type="dxa"/>
          </w:tcMar>
        </w:tcPr>
        <w:p w14:paraId="66E4601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6AF23" w14:textId="77777777" w:rsidR="009F392E" w:rsidRDefault="009F392E" w:rsidP="00FC6389">
          <w:pPr>
            <w:pStyle w:val="Zpat"/>
          </w:pPr>
        </w:p>
      </w:tc>
      <w:tc>
        <w:tcPr>
          <w:tcW w:w="10624" w:type="dxa"/>
          <w:shd w:val="clear" w:color="auto" w:fill="auto"/>
          <w:tcMar>
            <w:left w:w="0" w:type="dxa"/>
            <w:right w:w="0" w:type="dxa"/>
          </w:tcMar>
        </w:tcPr>
        <w:p w14:paraId="4CB9C3AE" w14:textId="77777777" w:rsidR="009F392E" w:rsidRPr="00D6163D" w:rsidRDefault="009F392E" w:rsidP="00FC6389">
          <w:pPr>
            <w:pStyle w:val="Druhdokumentu"/>
          </w:pPr>
        </w:p>
      </w:tc>
    </w:tr>
  </w:tbl>
  <w:p w14:paraId="20C74629" w14:textId="77777777" w:rsidR="00F1715C" w:rsidRPr="00D6163D" w:rsidRDefault="00124AA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800" behindDoc="0" locked="1" layoutInCell="1" allowOverlap="1" wp14:anchorId="0E73A8A1" wp14:editId="0618CE6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699200" cy="6300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DB66A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55120B3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strike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A77D4"/>
    <w:multiLevelType w:val="hybridMultilevel"/>
    <w:tmpl w:val="921E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72642"/>
    <w:multiLevelType w:val="hybridMultilevel"/>
    <w:tmpl w:val="E178480E"/>
    <w:lvl w:ilvl="0" w:tplc="DA8EF60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98C6401"/>
    <w:multiLevelType w:val="hybridMultilevel"/>
    <w:tmpl w:val="71AC5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1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3F"/>
    <w:rsid w:val="00006F68"/>
    <w:rsid w:val="0002687C"/>
    <w:rsid w:val="00072C1E"/>
    <w:rsid w:val="000E23A7"/>
    <w:rsid w:val="0010693F"/>
    <w:rsid w:val="00114472"/>
    <w:rsid w:val="00124AAC"/>
    <w:rsid w:val="00135840"/>
    <w:rsid w:val="001550BC"/>
    <w:rsid w:val="001605B9"/>
    <w:rsid w:val="00170EC5"/>
    <w:rsid w:val="001747C1"/>
    <w:rsid w:val="001827AC"/>
    <w:rsid w:val="00184743"/>
    <w:rsid w:val="00191320"/>
    <w:rsid w:val="00207DF5"/>
    <w:rsid w:val="00280E07"/>
    <w:rsid w:val="002C0A38"/>
    <w:rsid w:val="002C31BF"/>
    <w:rsid w:val="002D08B1"/>
    <w:rsid w:val="002D2259"/>
    <w:rsid w:val="002D77C7"/>
    <w:rsid w:val="002E0CD7"/>
    <w:rsid w:val="00341DCF"/>
    <w:rsid w:val="00357BC6"/>
    <w:rsid w:val="003664A4"/>
    <w:rsid w:val="003956C6"/>
    <w:rsid w:val="003B30A0"/>
    <w:rsid w:val="00400E24"/>
    <w:rsid w:val="0041700B"/>
    <w:rsid w:val="00441430"/>
    <w:rsid w:val="00450F07"/>
    <w:rsid w:val="00453CD3"/>
    <w:rsid w:val="00460660"/>
    <w:rsid w:val="0046763F"/>
    <w:rsid w:val="00486107"/>
    <w:rsid w:val="00491827"/>
    <w:rsid w:val="004B348C"/>
    <w:rsid w:val="004C4399"/>
    <w:rsid w:val="004C787C"/>
    <w:rsid w:val="004E143C"/>
    <w:rsid w:val="004E3A53"/>
    <w:rsid w:val="004F4B9B"/>
    <w:rsid w:val="005068D5"/>
    <w:rsid w:val="00511AB9"/>
    <w:rsid w:val="00523EA7"/>
    <w:rsid w:val="005468CF"/>
    <w:rsid w:val="00553375"/>
    <w:rsid w:val="005736B7"/>
    <w:rsid w:val="00575E5A"/>
    <w:rsid w:val="005A728C"/>
    <w:rsid w:val="005B7766"/>
    <w:rsid w:val="005C5CE7"/>
    <w:rsid w:val="005F1404"/>
    <w:rsid w:val="0061068E"/>
    <w:rsid w:val="00616FCB"/>
    <w:rsid w:val="00660AD3"/>
    <w:rsid w:val="00677B7F"/>
    <w:rsid w:val="006A5570"/>
    <w:rsid w:val="006A689C"/>
    <w:rsid w:val="006B3D79"/>
    <w:rsid w:val="006D7AFE"/>
    <w:rsid w:val="006E0578"/>
    <w:rsid w:val="006E1FE8"/>
    <w:rsid w:val="006E314D"/>
    <w:rsid w:val="006E5B0F"/>
    <w:rsid w:val="00710723"/>
    <w:rsid w:val="00723ED1"/>
    <w:rsid w:val="00743525"/>
    <w:rsid w:val="0076286B"/>
    <w:rsid w:val="00766846"/>
    <w:rsid w:val="0077673A"/>
    <w:rsid w:val="007846E1"/>
    <w:rsid w:val="00791A41"/>
    <w:rsid w:val="00795EB6"/>
    <w:rsid w:val="007B570C"/>
    <w:rsid w:val="007C589B"/>
    <w:rsid w:val="007D1C66"/>
    <w:rsid w:val="007E01B6"/>
    <w:rsid w:val="007E4A6E"/>
    <w:rsid w:val="007F56A7"/>
    <w:rsid w:val="0080308A"/>
    <w:rsid w:val="00807DD0"/>
    <w:rsid w:val="008659F3"/>
    <w:rsid w:val="00880B03"/>
    <w:rsid w:val="00886D4B"/>
    <w:rsid w:val="00895406"/>
    <w:rsid w:val="008A3568"/>
    <w:rsid w:val="008D03B9"/>
    <w:rsid w:val="008D6BBC"/>
    <w:rsid w:val="008E5A3B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3DFD"/>
    <w:rsid w:val="009B14A9"/>
    <w:rsid w:val="009B1C09"/>
    <w:rsid w:val="009B2E97"/>
    <w:rsid w:val="009E07F4"/>
    <w:rsid w:val="009F392E"/>
    <w:rsid w:val="00A01602"/>
    <w:rsid w:val="00A60A3F"/>
    <w:rsid w:val="00A6177B"/>
    <w:rsid w:val="00A66136"/>
    <w:rsid w:val="00AA4CBB"/>
    <w:rsid w:val="00AA65FA"/>
    <w:rsid w:val="00AA7351"/>
    <w:rsid w:val="00AD056F"/>
    <w:rsid w:val="00AD6731"/>
    <w:rsid w:val="00B05704"/>
    <w:rsid w:val="00B07E13"/>
    <w:rsid w:val="00B15D0D"/>
    <w:rsid w:val="00B359CF"/>
    <w:rsid w:val="00B45D2C"/>
    <w:rsid w:val="00B75EE1"/>
    <w:rsid w:val="00B77481"/>
    <w:rsid w:val="00B8518B"/>
    <w:rsid w:val="00BB06C9"/>
    <w:rsid w:val="00BD7E91"/>
    <w:rsid w:val="00C02D0A"/>
    <w:rsid w:val="00C03A6E"/>
    <w:rsid w:val="00C44F6A"/>
    <w:rsid w:val="00C47AE3"/>
    <w:rsid w:val="00CB50BA"/>
    <w:rsid w:val="00CD1FC4"/>
    <w:rsid w:val="00CD464F"/>
    <w:rsid w:val="00D04EDD"/>
    <w:rsid w:val="00D17FF6"/>
    <w:rsid w:val="00D21061"/>
    <w:rsid w:val="00D4108E"/>
    <w:rsid w:val="00D6163D"/>
    <w:rsid w:val="00D71C15"/>
    <w:rsid w:val="00D831A3"/>
    <w:rsid w:val="00D8790D"/>
    <w:rsid w:val="00D87C04"/>
    <w:rsid w:val="00DA6A35"/>
    <w:rsid w:val="00DC75F3"/>
    <w:rsid w:val="00DD46F3"/>
    <w:rsid w:val="00DE56F2"/>
    <w:rsid w:val="00DF116D"/>
    <w:rsid w:val="00EB104F"/>
    <w:rsid w:val="00ED14BD"/>
    <w:rsid w:val="00ED779A"/>
    <w:rsid w:val="00EF7AAB"/>
    <w:rsid w:val="00F0533E"/>
    <w:rsid w:val="00F1048D"/>
    <w:rsid w:val="00F12DEC"/>
    <w:rsid w:val="00F1715C"/>
    <w:rsid w:val="00F222BC"/>
    <w:rsid w:val="00F250C0"/>
    <w:rsid w:val="00F310F8"/>
    <w:rsid w:val="00F33988"/>
    <w:rsid w:val="00F35939"/>
    <w:rsid w:val="00F45607"/>
    <w:rsid w:val="00F659EB"/>
    <w:rsid w:val="00F836A3"/>
    <w:rsid w:val="00F86BA6"/>
    <w:rsid w:val="00F87555"/>
    <w:rsid w:val="00F96719"/>
    <w:rsid w:val="00FA1BD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3EBE98"/>
  <w14:defaultImageDpi w14:val="32767"/>
  <w15:docId w15:val="{28587912-A0B2-4C84-8DD1-9326429C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63F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A3DFD"/>
    <w:pPr>
      <w:keepNext/>
      <w:keepLines/>
      <w:suppressAutoHyphens/>
      <w:spacing w:before="320" w:after="80" w:line="264" w:lineRule="auto"/>
      <w:ind w:firstLine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3DFD"/>
    <w:pPr>
      <w:keepNext/>
      <w:keepLines/>
      <w:pBdr>
        <w:top w:val="single" w:sz="4" w:space="1" w:color="00A1E0" w:themeColor="accent3"/>
      </w:pBdr>
      <w:spacing w:before="240" w:after="60" w:line="264" w:lineRule="auto"/>
      <w:ind w:firstLine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A3DFD"/>
    <w:pPr>
      <w:keepNext/>
      <w:keepLines/>
      <w:spacing w:before="240" w:after="60" w:line="264" w:lineRule="auto"/>
      <w:ind w:firstLine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ind w:firstLine="0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ind w:firstLine="0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ind w:firstLine="0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A3DF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A3DF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9A3DF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  <w:ind w:firstLine="0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ind w:firstLine="0"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  <w:ind w:firstLine="567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 w:firstLine="0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  <w:ind w:firstLine="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 w:firstLine="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  <w:ind w:firstLine="0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 w:firstLine="0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  <w:ind w:firstLine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ind w:firstLine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1">
    <w:name w:val="Style11"/>
    <w:basedOn w:val="Normln"/>
    <w:uiPriority w:val="99"/>
    <w:rsid w:val="003B30A0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uiPriority w:val="99"/>
    <w:rsid w:val="003B30A0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7D1C66"/>
    <w:pPr>
      <w:numPr>
        <w:ilvl w:val="2"/>
      </w:numPr>
      <w:tabs>
        <w:tab w:val="clear" w:pos="1474"/>
        <w:tab w:val="num" w:pos="360"/>
        <w:tab w:val="num" w:pos="1843"/>
      </w:tabs>
      <w:ind w:left="854" w:hanging="113"/>
    </w:pPr>
  </w:style>
  <w:style w:type="paragraph" w:customStyle="1" w:styleId="Text1-1">
    <w:name w:val="_Text_1-1"/>
    <w:basedOn w:val="Normln"/>
    <w:link w:val="Text1-1Char"/>
    <w:rsid w:val="007D1C66"/>
    <w:pPr>
      <w:numPr>
        <w:ilvl w:val="1"/>
        <w:numId w:val="35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7D1C66"/>
    <w:pPr>
      <w:keepNext/>
      <w:numPr>
        <w:numId w:val="35"/>
      </w:numPr>
      <w:tabs>
        <w:tab w:val="clear" w:pos="737"/>
        <w:tab w:val="num" w:pos="360"/>
      </w:tabs>
      <w:spacing w:before="240" w:after="120"/>
      <w:ind w:left="720" w:firstLine="567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D1C66"/>
  </w:style>
  <w:style w:type="character" w:styleId="Odkaznakoment">
    <w:name w:val="annotation reference"/>
    <w:basedOn w:val="Standardnpsmoodstavce"/>
    <w:uiPriority w:val="99"/>
    <w:semiHidden/>
    <w:unhideWhenUsed/>
    <w:rsid w:val="007D1C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C6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C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C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C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u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dc.cz/index.php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tr\Documents\Akce%202020\tr&#225;va%20sout&#283;&#382;\sprava-zeleznic_hlavickovy-papir_na-sirku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6ABB-B789-4A06-906A-F7F52E1515B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83D91C-7B76-460B-9BD5-F75B85E3F0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3CE77-C420-49D2-8036-17AAA7727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0BB1CC-FDA1-4F57-A3DE-ACED5B0C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sprava-zeleznic_hlavickovy-papir_na-sirku_v8_SABLONA</Template>
  <TotalTime>214</TotalTime>
  <Pages>3</Pages>
  <Words>531</Words>
  <Characters>3134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Pítr Jaroslav</dc:creator>
  <cp:lastModifiedBy>Jüttnerová Andrea, Mgr.</cp:lastModifiedBy>
  <cp:revision>21</cp:revision>
  <cp:lastPrinted>2019-03-08T18:48:00Z</cp:lastPrinted>
  <dcterms:created xsi:type="dcterms:W3CDTF">2020-05-05T09:04:00Z</dcterms:created>
  <dcterms:modified xsi:type="dcterms:W3CDTF">2021-10-11T10:38:00Z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